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DFCEA" w14:textId="77777777" w:rsidR="00A00341" w:rsidRPr="00971672" w:rsidRDefault="00F56E22">
      <w:pPr>
        <w:rPr>
          <w:b/>
          <w:u w:val="single"/>
        </w:rPr>
      </w:pPr>
      <w:r w:rsidRPr="00971672">
        <w:rPr>
          <w:b/>
          <w:u w:val="single"/>
        </w:rPr>
        <w:t>Postes étudiants/étudiantes à la maitrise et/ou doctorat biochimie</w:t>
      </w:r>
      <w:r w:rsidR="00971672" w:rsidRPr="00971672">
        <w:rPr>
          <w:b/>
          <w:u w:val="single"/>
        </w:rPr>
        <w:t xml:space="preserve"> (RÉGÉNÉRATION TISSULAIRE)</w:t>
      </w:r>
    </w:p>
    <w:p w14:paraId="7893B3FC" w14:textId="77777777" w:rsidR="00F56E22" w:rsidRDefault="00F56E22" w:rsidP="00971672">
      <w:pPr>
        <w:jc w:val="both"/>
      </w:pPr>
      <w:r>
        <w:t>Nous sommes à la recherche d’étudiants/étudiantes motivés pour travailler sur les mécanismes moléculaire et cellulaire de la régénération épimorphique. Notre laboratoire s’intéresse spécifiquement au rôle de la superfamille des TGF-Beta (TGF-</w:t>
      </w:r>
      <w:r>
        <w:rPr>
          <w:rFonts w:cstheme="minorHAnsi"/>
        </w:rPr>
        <w:t>β</w:t>
      </w:r>
      <w:r>
        <w:t>, BMP, GDF, activines) avec une attention particulière à la fonction des voies TGF-</w:t>
      </w:r>
      <w:r>
        <w:rPr>
          <w:rFonts w:cstheme="minorHAnsi"/>
        </w:rPr>
        <w:t>β</w:t>
      </w:r>
      <w:r>
        <w:t xml:space="preserve"> et BMP durant les différentes étapes de la régénération de la patte chez l’Axolotl. Nous utilisons diverses approches de biologie moléculaire, signalisation cellulaires, culture cellulaires et analyses biochimiques et histologiques afin de comprendre ce processus de morphogénèse complexe post-développement. Les axolotls sont des salamandres (originaire du Mexique) qui ont la capacité de régénérer parfaitement la plupart de leur tissue</w:t>
      </w:r>
      <w:r w:rsidR="00971672">
        <w:t>s</w:t>
      </w:r>
      <w:r>
        <w:t xml:space="preserve"> parfaitement tout au long de leur vie.</w:t>
      </w:r>
      <w:r w:rsidR="00971672">
        <w:t xml:space="preserve"> </w:t>
      </w:r>
    </w:p>
    <w:p w14:paraId="556CB9D0" w14:textId="77777777" w:rsidR="00971672" w:rsidRDefault="00971672" w:rsidP="00971672">
      <w:pPr>
        <w:jc w:val="both"/>
      </w:pPr>
      <w:r>
        <w:t xml:space="preserve">Les étudiants/étudiantes doivent être motivés et curieux d’apprendre. Nous sommes dans le pavillon JA Bombardier en biochimie </w:t>
      </w:r>
      <w:r w:rsidRPr="00971672">
        <w:rPr>
          <w:rStyle w:val="rynqvb"/>
        </w:rPr>
        <w:t>(Université de Montréal)</w:t>
      </w:r>
      <w:r>
        <w:t>.</w:t>
      </w:r>
    </w:p>
    <w:p w14:paraId="472156B9" w14:textId="77777777" w:rsidR="00971672" w:rsidRDefault="00971672" w:rsidP="00971672">
      <w:pPr>
        <w:jc w:val="both"/>
      </w:pPr>
      <w:r>
        <w:t>Positions disponible à partir de Mai 2023.</w:t>
      </w:r>
    </w:p>
    <w:p w14:paraId="6508E234" w14:textId="77777777" w:rsidR="00971672" w:rsidRDefault="00971672">
      <w:r>
        <w:t>Les gens intéressés SVP contacter professeur Stéphane Roy (stephane.roy@umontreal.ca).</w:t>
      </w:r>
    </w:p>
    <w:p w14:paraId="20DACD6B" w14:textId="77777777" w:rsidR="00F56E22" w:rsidRDefault="00F56E22"/>
    <w:p w14:paraId="05074443" w14:textId="77777777" w:rsidR="00971672" w:rsidRPr="00971672" w:rsidRDefault="00971672">
      <w:pPr>
        <w:rPr>
          <w:rStyle w:val="rynqvb"/>
          <w:b/>
          <w:u w:val="single"/>
          <w:lang w:val="en"/>
        </w:rPr>
      </w:pPr>
      <w:r w:rsidRPr="00971672">
        <w:rPr>
          <w:rStyle w:val="rynqvb"/>
          <w:b/>
          <w:u w:val="single"/>
          <w:lang w:val="en"/>
        </w:rPr>
        <w:t xml:space="preserve">Master's and/or PhD student positions in biochemistry (TISSUE REGENERATION) </w:t>
      </w:r>
    </w:p>
    <w:p w14:paraId="5E0374FE" w14:textId="77777777" w:rsidR="00971672" w:rsidRDefault="00971672" w:rsidP="00590652">
      <w:pPr>
        <w:jc w:val="both"/>
        <w:rPr>
          <w:rStyle w:val="rynqvb"/>
          <w:lang w:val="en"/>
        </w:rPr>
      </w:pPr>
      <w:bookmarkStart w:id="0" w:name="_GoBack"/>
      <w:r>
        <w:rPr>
          <w:rStyle w:val="rynqvb"/>
          <w:lang w:val="en"/>
        </w:rPr>
        <w:t xml:space="preserve">We are looking for motivated students to work on the molecular and cellular mechanisms of epimorphic </w:t>
      </w:r>
      <w:r>
        <w:rPr>
          <w:rStyle w:val="rynqvb"/>
          <w:lang w:val="en"/>
        </w:rPr>
        <w:t xml:space="preserve">tissue </w:t>
      </w:r>
      <w:r>
        <w:rPr>
          <w:rStyle w:val="rynqvb"/>
          <w:lang w:val="en"/>
        </w:rPr>
        <w:t>regeneration.</w:t>
      </w:r>
      <w:r>
        <w:rPr>
          <w:rStyle w:val="hwtze"/>
          <w:lang w:val="en"/>
        </w:rPr>
        <w:t xml:space="preserve"> </w:t>
      </w:r>
      <w:r>
        <w:rPr>
          <w:rStyle w:val="rynqvb"/>
          <w:lang w:val="en"/>
        </w:rPr>
        <w:t xml:space="preserve">Our laboratory is specifically interested in the role of the TGF-Beta superfamily (TGF-β, BMP, GDF, activins) with particular attention to the function of the TGF-β and BMP pathways during the different stages of </w:t>
      </w:r>
      <w:r>
        <w:rPr>
          <w:rStyle w:val="rynqvb"/>
          <w:lang w:val="en"/>
        </w:rPr>
        <w:t>limb</w:t>
      </w:r>
      <w:r>
        <w:rPr>
          <w:rStyle w:val="rynqvb"/>
          <w:lang w:val="en"/>
        </w:rPr>
        <w:t xml:space="preserve"> regeneration</w:t>
      </w:r>
      <w:r>
        <w:rPr>
          <w:rStyle w:val="rynqvb"/>
          <w:lang w:val="en"/>
        </w:rPr>
        <w:t xml:space="preserve"> in</w:t>
      </w:r>
      <w:r>
        <w:rPr>
          <w:rStyle w:val="rynqvb"/>
          <w:lang w:val="en"/>
        </w:rPr>
        <w:t xml:space="preserve"> the Axolotl.</w:t>
      </w:r>
      <w:r>
        <w:rPr>
          <w:rStyle w:val="hwtze"/>
          <w:lang w:val="en"/>
        </w:rPr>
        <w:t xml:space="preserve"> </w:t>
      </w:r>
      <w:r>
        <w:rPr>
          <w:rStyle w:val="rynqvb"/>
          <w:lang w:val="en"/>
        </w:rPr>
        <w:t>We use various approaches of molecular biology, cell signaling, cell culture and biochemical and histological analyzes to understand this complex post-developmental morphogenesis process.</w:t>
      </w:r>
      <w:r>
        <w:rPr>
          <w:rStyle w:val="hwtze"/>
          <w:lang w:val="en"/>
        </w:rPr>
        <w:t xml:space="preserve"> </w:t>
      </w:r>
      <w:r>
        <w:rPr>
          <w:rStyle w:val="rynqvb"/>
          <w:lang w:val="en"/>
        </w:rPr>
        <w:t>Axolotls are salamanders (native to Mexico) that have the ability to regenerate most of their tissue</w:t>
      </w:r>
      <w:r>
        <w:rPr>
          <w:rStyle w:val="rynqvb"/>
          <w:lang w:val="en"/>
        </w:rPr>
        <w:t>s</w:t>
      </w:r>
      <w:r>
        <w:rPr>
          <w:rStyle w:val="rynqvb"/>
          <w:lang w:val="en"/>
        </w:rPr>
        <w:t xml:space="preserve"> perfectly throughout their lives. </w:t>
      </w:r>
    </w:p>
    <w:bookmarkEnd w:id="0"/>
    <w:p w14:paraId="45AC26B1" w14:textId="77777777" w:rsidR="00971672" w:rsidRDefault="00971672">
      <w:pPr>
        <w:rPr>
          <w:rStyle w:val="rynqvb"/>
          <w:lang w:val="en"/>
        </w:rPr>
      </w:pPr>
      <w:r>
        <w:rPr>
          <w:rStyle w:val="rynqvb"/>
          <w:lang w:val="en"/>
        </w:rPr>
        <w:t>Students must be motivated and curious to learn.</w:t>
      </w:r>
      <w:r>
        <w:rPr>
          <w:rStyle w:val="hwtze"/>
          <w:lang w:val="en"/>
        </w:rPr>
        <w:t xml:space="preserve"> </w:t>
      </w:r>
      <w:r>
        <w:rPr>
          <w:rStyle w:val="rynqvb"/>
          <w:lang w:val="en"/>
        </w:rPr>
        <w:t>We are in the JA Bombardier pavilion in biochemistry</w:t>
      </w:r>
      <w:r>
        <w:rPr>
          <w:rStyle w:val="rynqvb"/>
          <w:lang w:val="en"/>
        </w:rPr>
        <w:t xml:space="preserve"> (Université de Montréal)</w:t>
      </w:r>
      <w:r>
        <w:rPr>
          <w:rStyle w:val="rynqvb"/>
          <w:lang w:val="en"/>
        </w:rPr>
        <w:t xml:space="preserve">. </w:t>
      </w:r>
    </w:p>
    <w:p w14:paraId="78552CCA" w14:textId="77777777" w:rsidR="00971672" w:rsidRDefault="00971672">
      <w:pPr>
        <w:rPr>
          <w:rStyle w:val="rynqvb"/>
          <w:lang w:val="en"/>
        </w:rPr>
      </w:pPr>
      <w:r>
        <w:rPr>
          <w:rStyle w:val="rynqvb"/>
          <w:lang w:val="en"/>
        </w:rPr>
        <w:t>Position</w:t>
      </w:r>
      <w:r>
        <w:rPr>
          <w:rStyle w:val="rynqvb"/>
          <w:lang w:val="en"/>
        </w:rPr>
        <w:t>s</w:t>
      </w:r>
      <w:r>
        <w:rPr>
          <w:rStyle w:val="rynqvb"/>
          <w:lang w:val="en"/>
        </w:rPr>
        <w:t xml:space="preserve"> available from May 2023. </w:t>
      </w:r>
    </w:p>
    <w:p w14:paraId="76A42F13" w14:textId="1AB24659" w:rsidR="00971672" w:rsidRDefault="00971672">
      <w:pPr>
        <w:rPr>
          <w:rStyle w:val="rynqvb"/>
          <w:lang w:val="en"/>
        </w:rPr>
      </w:pPr>
      <w:r>
        <w:rPr>
          <w:rStyle w:val="rynqvb"/>
          <w:lang w:val="en"/>
        </w:rPr>
        <w:t>Interested people please contact Professor Stéphane Roy (</w:t>
      </w:r>
      <w:hyperlink r:id="rId7" w:history="1">
        <w:r w:rsidR="00CB02C2" w:rsidRPr="00FF14DC">
          <w:rPr>
            <w:rStyle w:val="Lienhypertexte"/>
            <w:lang w:val="en"/>
          </w:rPr>
          <w:t>stephane.roy@umontreal.ca</w:t>
        </w:r>
      </w:hyperlink>
      <w:r>
        <w:rPr>
          <w:rStyle w:val="rynqvb"/>
          <w:lang w:val="en"/>
        </w:rPr>
        <w:t>).</w:t>
      </w:r>
    </w:p>
    <w:p w14:paraId="61DC3F6E" w14:textId="77777777" w:rsidR="00590652" w:rsidRDefault="00590652">
      <w:pPr>
        <w:rPr>
          <w:i/>
          <w:u w:val="single"/>
          <w:lang w:val="en"/>
        </w:rPr>
      </w:pPr>
    </w:p>
    <w:p w14:paraId="2EAFDCAE" w14:textId="1D445777" w:rsidR="00CB02C2" w:rsidRPr="00CB02C2" w:rsidRDefault="00CB02C2">
      <w:pPr>
        <w:rPr>
          <w:i/>
          <w:u w:val="single"/>
          <w:lang w:val="en"/>
        </w:rPr>
      </w:pPr>
      <w:r w:rsidRPr="00CB02C2">
        <w:rPr>
          <w:i/>
          <w:u w:val="single"/>
          <w:lang w:val="en"/>
        </w:rPr>
        <w:t>Articles</w:t>
      </w:r>
      <w:r w:rsidRPr="00CB02C2">
        <w:rPr>
          <w:i/>
          <w:u w:val="single"/>
        </w:rPr>
        <w:t xml:space="preserve"> sélectionnés</w:t>
      </w:r>
      <w:r w:rsidRPr="00CB02C2">
        <w:rPr>
          <w:i/>
          <w:u w:val="single"/>
          <w:lang w:val="en"/>
        </w:rPr>
        <w:t>/selected articles:</w:t>
      </w:r>
    </w:p>
    <w:tbl>
      <w:tblPr>
        <w:tblW w:w="0" w:type="auto"/>
        <w:tblCellSpacing w:w="15" w:type="dxa"/>
        <w:tblCellMar>
          <w:left w:w="75" w:type="dxa"/>
          <w:right w:w="0" w:type="dxa"/>
        </w:tblCellMar>
        <w:tblLook w:val="04A0" w:firstRow="1" w:lastRow="0" w:firstColumn="1" w:lastColumn="0" w:noHBand="0" w:noVBand="1"/>
      </w:tblPr>
      <w:tblGrid>
        <w:gridCol w:w="257"/>
        <w:gridCol w:w="8383"/>
      </w:tblGrid>
      <w:tr w:rsidR="00590652" w:rsidRPr="00590652" w14:paraId="0B272A51" w14:textId="77777777" w:rsidTr="00590652">
        <w:trPr>
          <w:tblCellSpacing w:w="15" w:type="dxa"/>
        </w:trPr>
        <w:tc>
          <w:tcPr>
            <w:tcW w:w="0" w:type="auto"/>
            <w:hideMark/>
          </w:tcPr>
          <w:p w14:paraId="58EFEF7C" w14:textId="77777777" w:rsidR="00590652" w:rsidRPr="00590652" w:rsidRDefault="00590652" w:rsidP="00590652">
            <w:pPr>
              <w:spacing w:after="0" w:line="240" w:lineRule="auto"/>
              <w:rPr>
                <w:rFonts w:eastAsia="Times New Roman"/>
                <w:sz w:val="18"/>
                <w:szCs w:val="18"/>
              </w:rPr>
            </w:pPr>
            <w:r w:rsidRPr="00590652">
              <w:rPr>
                <w:rFonts w:eastAsia="Times New Roman"/>
                <w:sz w:val="18"/>
                <w:szCs w:val="18"/>
              </w:rPr>
              <w:t xml:space="preserve">1. </w:t>
            </w:r>
          </w:p>
        </w:tc>
        <w:tc>
          <w:tcPr>
            <w:tcW w:w="0" w:type="auto"/>
            <w:vAlign w:val="center"/>
            <w:hideMark/>
          </w:tcPr>
          <w:p w14:paraId="07C3536C" w14:textId="77777777" w:rsidR="00590652" w:rsidRPr="00590652" w:rsidRDefault="00590652" w:rsidP="00590652">
            <w:pPr>
              <w:spacing w:after="0" w:line="240" w:lineRule="auto"/>
              <w:rPr>
                <w:rFonts w:eastAsia="Times New Roman"/>
                <w:sz w:val="18"/>
                <w:szCs w:val="18"/>
                <w:lang w:val="en-US"/>
              </w:rPr>
            </w:pPr>
            <w:hyperlink r:id="rId8" w:history="1">
              <w:r w:rsidRPr="00590652">
                <w:rPr>
                  <w:rStyle w:val="Lienhypertexte"/>
                  <w:rFonts w:eastAsia="Times New Roman"/>
                  <w:sz w:val="18"/>
                  <w:szCs w:val="18"/>
                  <w:lang w:val="en-US"/>
                </w:rPr>
                <w:t>Tgf-</w:t>
              </w:r>
              <w:r w:rsidRPr="00590652">
                <w:rPr>
                  <w:rStyle w:val="Lienhypertexte"/>
                  <w:rFonts w:eastAsia="Times New Roman"/>
                  <w:sz w:val="18"/>
                  <w:szCs w:val="18"/>
                </w:rPr>
                <w:t>β</w:t>
              </w:r>
              <w:r w:rsidRPr="00590652">
                <w:rPr>
                  <w:rStyle w:val="Lienhypertexte"/>
                  <w:rFonts w:eastAsia="Times New Roman"/>
                  <w:sz w:val="18"/>
                  <w:szCs w:val="18"/>
                  <w:lang w:val="en-US"/>
                </w:rPr>
                <w:t xml:space="preserve"> superfamily and limb regeneration: Tgf-</w:t>
              </w:r>
              <w:r w:rsidRPr="00590652">
                <w:rPr>
                  <w:rStyle w:val="Lienhypertexte"/>
                  <w:rFonts w:eastAsia="Times New Roman"/>
                  <w:sz w:val="18"/>
                  <w:szCs w:val="18"/>
                </w:rPr>
                <w:t>β</w:t>
              </w:r>
              <w:r w:rsidRPr="00590652">
                <w:rPr>
                  <w:rStyle w:val="Lienhypertexte"/>
                  <w:rFonts w:eastAsia="Times New Roman"/>
                  <w:sz w:val="18"/>
                  <w:szCs w:val="18"/>
                  <w:lang w:val="en-US"/>
                </w:rPr>
                <w:t xml:space="preserve"> to start and Bmp to end. </w:t>
              </w:r>
            </w:hyperlink>
          </w:p>
          <w:p w14:paraId="6B6414DF" w14:textId="77777777" w:rsidR="00590652" w:rsidRPr="00590652" w:rsidRDefault="00590652" w:rsidP="00590652">
            <w:pPr>
              <w:spacing w:after="0" w:line="240" w:lineRule="auto"/>
              <w:rPr>
                <w:rFonts w:eastAsia="Times New Roman"/>
                <w:color w:val="212121"/>
                <w:sz w:val="18"/>
                <w:szCs w:val="18"/>
                <w:lang w:val="en-US"/>
              </w:rPr>
            </w:pPr>
            <w:r w:rsidRPr="00590652">
              <w:rPr>
                <w:rFonts w:eastAsia="Times New Roman"/>
                <w:color w:val="212121"/>
                <w:sz w:val="18"/>
                <w:szCs w:val="18"/>
                <w:lang w:val="en-US"/>
              </w:rPr>
              <w:t>Sader F, Roy S.</w:t>
            </w:r>
          </w:p>
          <w:p w14:paraId="7981A984" w14:textId="77777777" w:rsidR="00590652" w:rsidRPr="00590652" w:rsidRDefault="00590652" w:rsidP="00590652">
            <w:pPr>
              <w:spacing w:after="0" w:line="240" w:lineRule="auto"/>
              <w:rPr>
                <w:rFonts w:eastAsia="Times New Roman"/>
                <w:color w:val="4D8055"/>
                <w:sz w:val="18"/>
                <w:szCs w:val="18"/>
              </w:rPr>
            </w:pPr>
            <w:r w:rsidRPr="00590652">
              <w:rPr>
                <w:rFonts w:eastAsia="Times New Roman"/>
                <w:color w:val="4D8055"/>
                <w:sz w:val="18"/>
                <w:szCs w:val="18"/>
                <w:lang w:val="en-US"/>
              </w:rPr>
              <w:t xml:space="preserve">Dev Dyn. 2022 Jun;251(6):973-987. doi: 10.1002/dvdy.379. </w:t>
            </w:r>
            <w:r w:rsidRPr="00590652">
              <w:rPr>
                <w:rFonts w:eastAsia="Times New Roman"/>
                <w:color w:val="4D8055"/>
                <w:sz w:val="18"/>
                <w:szCs w:val="18"/>
              </w:rPr>
              <w:t>Epub 2021 Jun 14.</w:t>
            </w:r>
          </w:p>
          <w:p w14:paraId="7E512C8D" w14:textId="77777777" w:rsidR="00590652" w:rsidRPr="00590652" w:rsidRDefault="00590652" w:rsidP="00590652">
            <w:pPr>
              <w:spacing w:after="0" w:line="240" w:lineRule="auto"/>
              <w:rPr>
                <w:rFonts w:eastAsia="Times New Roman"/>
                <w:color w:val="4D8055"/>
                <w:sz w:val="18"/>
                <w:szCs w:val="18"/>
              </w:rPr>
            </w:pPr>
            <w:r w:rsidRPr="00590652">
              <w:rPr>
                <w:rStyle w:val="citation-part"/>
                <w:rFonts w:eastAsia="Times New Roman"/>
                <w:color w:val="4D8055"/>
                <w:sz w:val="18"/>
                <w:szCs w:val="18"/>
              </w:rPr>
              <w:t xml:space="preserve">PMID: </w:t>
            </w:r>
            <w:r w:rsidRPr="00590652">
              <w:rPr>
                <w:rStyle w:val="docsum-pmid"/>
                <w:rFonts w:eastAsia="Times New Roman"/>
                <w:color w:val="4D8055"/>
                <w:sz w:val="18"/>
                <w:szCs w:val="18"/>
              </w:rPr>
              <w:t>34096672</w:t>
            </w:r>
            <w:r w:rsidRPr="00590652">
              <w:rPr>
                <w:rFonts w:eastAsia="Times New Roman"/>
                <w:color w:val="4D8055"/>
                <w:sz w:val="18"/>
                <w:szCs w:val="18"/>
              </w:rPr>
              <w:t xml:space="preserve"> </w:t>
            </w:r>
            <w:r w:rsidRPr="00590652">
              <w:rPr>
                <w:rStyle w:val="publication-type"/>
                <w:rFonts w:eastAsia="Times New Roman"/>
                <w:color w:val="4D8055"/>
                <w:sz w:val="18"/>
                <w:szCs w:val="18"/>
              </w:rPr>
              <w:t>Review.</w:t>
            </w:r>
            <w:r w:rsidRPr="00590652">
              <w:rPr>
                <w:rFonts w:eastAsia="Times New Roman"/>
                <w:color w:val="4D8055"/>
                <w:sz w:val="18"/>
                <w:szCs w:val="18"/>
              </w:rPr>
              <w:t xml:space="preserve"> </w:t>
            </w:r>
          </w:p>
        </w:tc>
      </w:tr>
      <w:tr w:rsidR="00590652" w:rsidRPr="00590652" w14:paraId="311E75C5" w14:textId="77777777" w:rsidTr="00590652">
        <w:trPr>
          <w:tblCellSpacing w:w="15" w:type="dxa"/>
        </w:trPr>
        <w:tc>
          <w:tcPr>
            <w:tcW w:w="0" w:type="auto"/>
            <w:hideMark/>
          </w:tcPr>
          <w:p w14:paraId="788F1A19" w14:textId="77777777" w:rsidR="00590652" w:rsidRPr="00590652" w:rsidRDefault="00590652" w:rsidP="00590652">
            <w:pPr>
              <w:spacing w:after="0" w:line="240" w:lineRule="auto"/>
              <w:rPr>
                <w:rFonts w:eastAsia="Times New Roman"/>
                <w:sz w:val="18"/>
                <w:szCs w:val="18"/>
              </w:rPr>
            </w:pPr>
            <w:r w:rsidRPr="00590652">
              <w:rPr>
                <w:rFonts w:eastAsia="Times New Roman"/>
                <w:sz w:val="18"/>
                <w:szCs w:val="18"/>
              </w:rPr>
              <w:t xml:space="preserve">2. </w:t>
            </w:r>
          </w:p>
        </w:tc>
        <w:tc>
          <w:tcPr>
            <w:tcW w:w="0" w:type="auto"/>
            <w:vAlign w:val="center"/>
            <w:hideMark/>
          </w:tcPr>
          <w:p w14:paraId="24E92586" w14:textId="77777777" w:rsidR="00590652" w:rsidRPr="00590652" w:rsidRDefault="00590652" w:rsidP="00590652">
            <w:pPr>
              <w:spacing w:after="0" w:line="240" w:lineRule="auto"/>
              <w:rPr>
                <w:rFonts w:eastAsia="Times New Roman"/>
                <w:sz w:val="18"/>
                <w:szCs w:val="18"/>
                <w:lang w:val="en-US"/>
              </w:rPr>
            </w:pPr>
            <w:hyperlink r:id="rId9" w:history="1">
              <w:r w:rsidRPr="00590652">
                <w:rPr>
                  <w:rStyle w:val="Lienhypertexte"/>
                  <w:rFonts w:eastAsia="Times New Roman"/>
                  <w:sz w:val="18"/>
                  <w:szCs w:val="18"/>
                  <w:lang w:val="en-US"/>
                </w:rPr>
                <w:t xml:space="preserve">BMP signaling is essential for sustaining proximo-distal progression in regenerating axolotl limbs. </w:t>
              </w:r>
            </w:hyperlink>
          </w:p>
          <w:p w14:paraId="1F5143A6" w14:textId="77777777" w:rsidR="00590652" w:rsidRPr="00590652" w:rsidRDefault="00590652" w:rsidP="00590652">
            <w:pPr>
              <w:spacing w:after="0" w:line="240" w:lineRule="auto"/>
              <w:rPr>
                <w:rFonts w:eastAsia="Times New Roman"/>
                <w:color w:val="212121"/>
                <w:sz w:val="18"/>
                <w:szCs w:val="18"/>
                <w:lang w:val="en-US"/>
              </w:rPr>
            </w:pPr>
            <w:r w:rsidRPr="00590652">
              <w:rPr>
                <w:rFonts w:eastAsia="Times New Roman"/>
                <w:color w:val="212121"/>
                <w:sz w:val="18"/>
                <w:szCs w:val="18"/>
                <w:lang w:val="en-US"/>
              </w:rPr>
              <w:t>Vincent E, Villiard E, Sader F, Dhakal S, Kwok BH, Roy S.</w:t>
            </w:r>
          </w:p>
          <w:p w14:paraId="0B9CF31A" w14:textId="77777777" w:rsidR="00590652" w:rsidRPr="00590652" w:rsidRDefault="00590652" w:rsidP="00590652">
            <w:pPr>
              <w:spacing w:after="0" w:line="240" w:lineRule="auto"/>
              <w:rPr>
                <w:rFonts w:eastAsia="Times New Roman"/>
                <w:color w:val="4D8055"/>
                <w:sz w:val="18"/>
                <w:szCs w:val="18"/>
                <w:lang w:val="en-US"/>
              </w:rPr>
            </w:pPr>
            <w:r w:rsidRPr="00590652">
              <w:rPr>
                <w:rFonts w:eastAsia="Times New Roman"/>
                <w:color w:val="4D8055"/>
                <w:sz w:val="18"/>
                <w:szCs w:val="18"/>
                <w:lang w:val="en-US"/>
              </w:rPr>
              <w:t>Development. 2020 Jul 31;147(14):dev170829. doi: 10.1242/dev.170829.</w:t>
            </w:r>
          </w:p>
          <w:p w14:paraId="1F26DDFA" w14:textId="77777777" w:rsidR="00590652" w:rsidRPr="00590652" w:rsidRDefault="00590652" w:rsidP="00590652">
            <w:pPr>
              <w:spacing w:after="0" w:line="240" w:lineRule="auto"/>
              <w:rPr>
                <w:rFonts w:eastAsia="Times New Roman"/>
                <w:color w:val="4D8055"/>
                <w:sz w:val="18"/>
                <w:szCs w:val="18"/>
                <w:lang w:val="en-US"/>
              </w:rPr>
            </w:pPr>
            <w:r w:rsidRPr="00590652">
              <w:rPr>
                <w:rStyle w:val="citation-part"/>
                <w:rFonts w:eastAsia="Times New Roman"/>
                <w:color w:val="4D8055"/>
                <w:sz w:val="18"/>
                <w:szCs w:val="18"/>
                <w:lang w:val="en-US"/>
              </w:rPr>
              <w:t xml:space="preserve">PMID: </w:t>
            </w:r>
            <w:r w:rsidRPr="00590652">
              <w:rPr>
                <w:rStyle w:val="docsum-pmid"/>
                <w:rFonts w:eastAsia="Times New Roman"/>
                <w:color w:val="4D8055"/>
                <w:sz w:val="18"/>
                <w:szCs w:val="18"/>
                <w:lang w:val="en-US"/>
              </w:rPr>
              <w:t>32665245</w:t>
            </w:r>
            <w:r w:rsidRPr="00590652">
              <w:rPr>
                <w:rFonts w:eastAsia="Times New Roman"/>
                <w:color w:val="4D8055"/>
                <w:sz w:val="18"/>
                <w:szCs w:val="18"/>
                <w:lang w:val="en-US"/>
              </w:rPr>
              <w:t xml:space="preserve"> </w:t>
            </w:r>
          </w:p>
        </w:tc>
      </w:tr>
      <w:tr w:rsidR="00590652" w:rsidRPr="00590652" w14:paraId="103B702C" w14:textId="77777777" w:rsidTr="00590652">
        <w:trPr>
          <w:tblCellSpacing w:w="15" w:type="dxa"/>
        </w:trPr>
        <w:tc>
          <w:tcPr>
            <w:tcW w:w="0" w:type="auto"/>
            <w:hideMark/>
          </w:tcPr>
          <w:p w14:paraId="7898D803" w14:textId="77777777" w:rsidR="00590652" w:rsidRPr="00590652" w:rsidRDefault="00590652" w:rsidP="00590652">
            <w:pPr>
              <w:spacing w:after="0" w:line="240" w:lineRule="auto"/>
              <w:rPr>
                <w:rFonts w:eastAsia="Times New Roman"/>
                <w:sz w:val="18"/>
                <w:szCs w:val="18"/>
              </w:rPr>
            </w:pPr>
            <w:r w:rsidRPr="00590652">
              <w:rPr>
                <w:rFonts w:eastAsia="Times New Roman"/>
                <w:sz w:val="18"/>
                <w:szCs w:val="18"/>
              </w:rPr>
              <w:lastRenderedPageBreak/>
              <w:t xml:space="preserve">3. </w:t>
            </w:r>
          </w:p>
        </w:tc>
        <w:tc>
          <w:tcPr>
            <w:tcW w:w="0" w:type="auto"/>
            <w:vAlign w:val="center"/>
            <w:hideMark/>
          </w:tcPr>
          <w:p w14:paraId="1AA3D5F1" w14:textId="77777777" w:rsidR="00590652" w:rsidRPr="00590652" w:rsidRDefault="00590652" w:rsidP="00590652">
            <w:pPr>
              <w:spacing w:after="0" w:line="240" w:lineRule="auto"/>
              <w:rPr>
                <w:rFonts w:eastAsia="Times New Roman"/>
                <w:sz w:val="18"/>
                <w:szCs w:val="18"/>
                <w:lang w:val="en-US"/>
              </w:rPr>
            </w:pPr>
            <w:hyperlink r:id="rId10" w:history="1">
              <w:r w:rsidRPr="00590652">
                <w:rPr>
                  <w:rStyle w:val="Lienhypertexte"/>
                  <w:rFonts w:eastAsia="Times New Roman"/>
                  <w:sz w:val="18"/>
                  <w:szCs w:val="18"/>
                  <w:lang w:val="en-US"/>
                </w:rPr>
                <w:t>Epithelial to mesenchymal transition is mediated by both TGF-</w:t>
              </w:r>
              <w:r w:rsidRPr="00590652">
                <w:rPr>
                  <w:rStyle w:val="Lienhypertexte"/>
                  <w:rFonts w:eastAsia="Times New Roman"/>
                  <w:sz w:val="18"/>
                  <w:szCs w:val="18"/>
                </w:rPr>
                <w:t>β</w:t>
              </w:r>
              <w:r w:rsidRPr="00590652">
                <w:rPr>
                  <w:rStyle w:val="Lienhypertexte"/>
                  <w:rFonts w:eastAsia="Times New Roman"/>
                  <w:sz w:val="18"/>
                  <w:szCs w:val="18"/>
                  <w:lang w:val="en-US"/>
                </w:rPr>
                <w:t xml:space="preserve"> canonical and non-canonical signaling during axolotl limb regeneration. </w:t>
              </w:r>
            </w:hyperlink>
          </w:p>
          <w:p w14:paraId="1A5332EE" w14:textId="77777777" w:rsidR="00590652" w:rsidRPr="00590652" w:rsidRDefault="00590652" w:rsidP="00590652">
            <w:pPr>
              <w:spacing w:after="0" w:line="240" w:lineRule="auto"/>
              <w:rPr>
                <w:rFonts w:eastAsia="Times New Roman"/>
                <w:color w:val="212121"/>
                <w:sz w:val="18"/>
                <w:szCs w:val="18"/>
                <w:lang w:val="en-US"/>
              </w:rPr>
            </w:pPr>
            <w:r w:rsidRPr="00590652">
              <w:rPr>
                <w:rFonts w:eastAsia="Times New Roman"/>
                <w:color w:val="212121"/>
                <w:sz w:val="18"/>
                <w:szCs w:val="18"/>
                <w:lang w:val="en-US"/>
              </w:rPr>
              <w:t>Sader F, Denis JF, Laref H, Roy S.</w:t>
            </w:r>
          </w:p>
          <w:p w14:paraId="04D586AB" w14:textId="77777777" w:rsidR="00590652" w:rsidRPr="00590652" w:rsidRDefault="00590652" w:rsidP="00590652">
            <w:pPr>
              <w:spacing w:after="0" w:line="240" w:lineRule="auto"/>
              <w:rPr>
                <w:rFonts w:eastAsia="Times New Roman"/>
                <w:color w:val="4D8055"/>
                <w:sz w:val="18"/>
                <w:szCs w:val="18"/>
                <w:lang w:val="en-US"/>
              </w:rPr>
            </w:pPr>
            <w:r w:rsidRPr="00590652">
              <w:rPr>
                <w:rFonts w:eastAsia="Times New Roman"/>
                <w:color w:val="4D8055"/>
                <w:sz w:val="18"/>
                <w:szCs w:val="18"/>
                <w:lang w:val="en-US"/>
              </w:rPr>
              <w:t>Sci Rep. 2019 Feb 4;9(1):1144. doi: 10.1038/s41598-018-38171-5.</w:t>
            </w:r>
          </w:p>
          <w:p w14:paraId="0E9BF610" w14:textId="77777777" w:rsidR="00590652" w:rsidRPr="00590652" w:rsidRDefault="00590652" w:rsidP="00590652">
            <w:pPr>
              <w:spacing w:after="0" w:line="240" w:lineRule="auto"/>
              <w:rPr>
                <w:rFonts w:eastAsia="Times New Roman"/>
                <w:color w:val="4D8055"/>
                <w:sz w:val="18"/>
                <w:szCs w:val="18"/>
              </w:rPr>
            </w:pPr>
            <w:r w:rsidRPr="00590652">
              <w:rPr>
                <w:rStyle w:val="citation-part"/>
                <w:rFonts w:eastAsia="Times New Roman"/>
                <w:color w:val="4D8055"/>
                <w:sz w:val="18"/>
                <w:szCs w:val="18"/>
              </w:rPr>
              <w:t xml:space="preserve">PMID: </w:t>
            </w:r>
            <w:r w:rsidRPr="00590652">
              <w:rPr>
                <w:rStyle w:val="docsum-pmid"/>
                <w:rFonts w:eastAsia="Times New Roman"/>
                <w:color w:val="4D8055"/>
                <w:sz w:val="18"/>
                <w:szCs w:val="18"/>
              </w:rPr>
              <w:t>30718780</w:t>
            </w:r>
            <w:r w:rsidRPr="00590652">
              <w:rPr>
                <w:rFonts w:eastAsia="Times New Roman"/>
                <w:color w:val="4D8055"/>
                <w:sz w:val="18"/>
                <w:szCs w:val="18"/>
              </w:rPr>
              <w:t xml:space="preserve"> </w:t>
            </w:r>
            <w:r w:rsidRPr="00590652">
              <w:rPr>
                <w:rStyle w:val="free-resources1"/>
                <w:rFonts w:eastAsia="Times New Roman"/>
                <w:sz w:val="18"/>
                <w:szCs w:val="18"/>
              </w:rPr>
              <w:t>Free PMC article.</w:t>
            </w:r>
            <w:r w:rsidRPr="00590652">
              <w:rPr>
                <w:rFonts w:eastAsia="Times New Roman"/>
                <w:color w:val="4D8055"/>
                <w:sz w:val="18"/>
                <w:szCs w:val="18"/>
              </w:rPr>
              <w:t xml:space="preserve"> </w:t>
            </w:r>
          </w:p>
        </w:tc>
      </w:tr>
      <w:tr w:rsidR="00590652" w:rsidRPr="00590652" w14:paraId="5ABEF818" w14:textId="77777777" w:rsidTr="00590652">
        <w:trPr>
          <w:tblCellSpacing w:w="15" w:type="dxa"/>
        </w:trPr>
        <w:tc>
          <w:tcPr>
            <w:tcW w:w="0" w:type="auto"/>
            <w:hideMark/>
          </w:tcPr>
          <w:p w14:paraId="534B0FD7" w14:textId="77777777" w:rsidR="00590652" w:rsidRPr="00590652" w:rsidRDefault="00590652" w:rsidP="00590652">
            <w:pPr>
              <w:spacing w:after="0" w:line="240" w:lineRule="auto"/>
              <w:rPr>
                <w:rFonts w:eastAsia="Times New Roman"/>
                <w:sz w:val="18"/>
                <w:szCs w:val="18"/>
              </w:rPr>
            </w:pPr>
            <w:r w:rsidRPr="00590652">
              <w:rPr>
                <w:rFonts w:eastAsia="Times New Roman"/>
                <w:sz w:val="18"/>
                <w:szCs w:val="18"/>
              </w:rPr>
              <w:t xml:space="preserve">4. </w:t>
            </w:r>
          </w:p>
        </w:tc>
        <w:tc>
          <w:tcPr>
            <w:tcW w:w="0" w:type="auto"/>
            <w:vAlign w:val="center"/>
            <w:hideMark/>
          </w:tcPr>
          <w:p w14:paraId="01AB8C5E" w14:textId="77777777" w:rsidR="00590652" w:rsidRPr="00590652" w:rsidRDefault="00590652" w:rsidP="00590652">
            <w:pPr>
              <w:spacing w:after="0" w:line="240" w:lineRule="auto"/>
              <w:rPr>
                <w:rFonts w:eastAsia="Times New Roman"/>
                <w:sz w:val="18"/>
                <w:szCs w:val="18"/>
                <w:lang w:val="en-US"/>
              </w:rPr>
            </w:pPr>
            <w:hyperlink r:id="rId11" w:history="1">
              <w:r w:rsidRPr="00590652">
                <w:rPr>
                  <w:rStyle w:val="Lienhypertexte"/>
                  <w:rFonts w:eastAsia="Times New Roman"/>
                  <w:sz w:val="18"/>
                  <w:szCs w:val="18"/>
                  <w:lang w:val="en-US"/>
                </w:rPr>
                <w:t>Activation of Smad2 but not Smad3 is required to mediate TGF-</w:t>
              </w:r>
              <w:r w:rsidRPr="00590652">
                <w:rPr>
                  <w:rStyle w:val="Lienhypertexte"/>
                  <w:rFonts w:eastAsia="Times New Roman"/>
                  <w:sz w:val="18"/>
                  <w:szCs w:val="18"/>
                </w:rPr>
                <w:t>β</w:t>
              </w:r>
              <w:r w:rsidRPr="00590652">
                <w:rPr>
                  <w:rStyle w:val="Lienhypertexte"/>
                  <w:rFonts w:eastAsia="Times New Roman"/>
                  <w:sz w:val="18"/>
                  <w:szCs w:val="18"/>
                  <w:lang w:val="en-US"/>
                </w:rPr>
                <w:t xml:space="preserve"> signaling during axolotl limb regeneration. </w:t>
              </w:r>
            </w:hyperlink>
          </w:p>
          <w:p w14:paraId="2D349CC9" w14:textId="77777777" w:rsidR="00590652" w:rsidRPr="00590652" w:rsidRDefault="00590652" w:rsidP="00590652">
            <w:pPr>
              <w:spacing w:after="0" w:line="240" w:lineRule="auto"/>
              <w:rPr>
                <w:rFonts w:eastAsia="Times New Roman"/>
                <w:color w:val="212121"/>
                <w:sz w:val="18"/>
                <w:szCs w:val="18"/>
                <w:lang w:val="en-US"/>
              </w:rPr>
            </w:pPr>
            <w:r w:rsidRPr="00590652">
              <w:rPr>
                <w:rFonts w:eastAsia="Times New Roman"/>
                <w:color w:val="212121"/>
                <w:sz w:val="18"/>
                <w:szCs w:val="18"/>
                <w:lang w:val="en-US"/>
              </w:rPr>
              <w:t>Denis JF, Sader F, Gatien S, Villiard É, Philip A, Roy S.</w:t>
            </w:r>
          </w:p>
          <w:p w14:paraId="566F8C0F" w14:textId="77777777" w:rsidR="00590652" w:rsidRPr="00590652" w:rsidRDefault="00590652" w:rsidP="00590652">
            <w:pPr>
              <w:spacing w:after="0" w:line="240" w:lineRule="auto"/>
              <w:rPr>
                <w:rFonts w:eastAsia="Times New Roman"/>
                <w:color w:val="4D8055"/>
                <w:sz w:val="18"/>
                <w:szCs w:val="18"/>
                <w:lang w:val="en-US"/>
              </w:rPr>
            </w:pPr>
            <w:r w:rsidRPr="00590652">
              <w:rPr>
                <w:rFonts w:eastAsia="Times New Roman"/>
                <w:color w:val="4D8055"/>
                <w:sz w:val="18"/>
                <w:szCs w:val="18"/>
                <w:lang w:val="en-US"/>
              </w:rPr>
              <w:t>Development. 2016 Oct 1;143(19):3481-3490. doi: 10.1242/dev.131466. Epub 2016 Aug 22.</w:t>
            </w:r>
          </w:p>
          <w:p w14:paraId="105CFF68" w14:textId="77777777" w:rsidR="00590652" w:rsidRPr="00590652" w:rsidRDefault="00590652" w:rsidP="00590652">
            <w:pPr>
              <w:spacing w:after="0" w:line="240" w:lineRule="auto"/>
              <w:rPr>
                <w:rFonts w:eastAsia="Times New Roman"/>
                <w:color w:val="4D8055"/>
                <w:sz w:val="18"/>
                <w:szCs w:val="18"/>
              </w:rPr>
            </w:pPr>
            <w:r w:rsidRPr="00590652">
              <w:rPr>
                <w:rStyle w:val="citation-part"/>
                <w:rFonts w:eastAsia="Times New Roman"/>
                <w:color w:val="4D8055"/>
                <w:sz w:val="18"/>
                <w:szCs w:val="18"/>
              </w:rPr>
              <w:t xml:space="preserve">PMID: </w:t>
            </w:r>
            <w:r w:rsidRPr="00590652">
              <w:rPr>
                <w:rStyle w:val="docsum-pmid"/>
                <w:rFonts w:eastAsia="Times New Roman"/>
                <w:color w:val="4D8055"/>
                <w:sz w:val="18"/>
                <w:szCs w:val="18"/>
              </w:rPr>
              <w:t>27549395</w:t>
            </w:r>
            <w:r w:rsidRPr="00590652">
              <w:rPr>
                <w:rFonts w:eastAsia="Times New Roman"/>
                <w:color w:val="4D8055"/>
                <w:sz w:val="18"/>
                <w:szCs w:val="18"/>
              </w:rPr>
              <w:t xml:space="preserve"> </w:t>
            </w:r>
          </w:p>
        </w:tc>
      </w:tr>
    </w:tbl>
    <w:p w14:paraId="2AE5EBF0" w14:textId="77777777" w:rsidR="00CB02C2" w:rsidRDefault="00CB02C2" w:rsidP="00CB02C2">
      <w:pPr>
        <w:rPr>
          <w:rFonts w:eastAsia="Times New Roman"/>
          <w:sz w:val="24"/>
          <w:szCs w:val="24"/>
        </w:rPr>
      </w:pPr>
    </w:p>
    <w:p w14:paraId="3B2F1558" w14:textId="77777777" w:rsidR="00CB02C2" w:rsidRPr="00971672" w:rsidRDefault="00CB02C2">
      <w:pPr>
        <w:rPr>
          <w:lang w:val="en"/>
        </w:rPr>
      </w:pPr>
    </w:p>
    <w:sectPr w:rsidR="00CB02C2" w:rsidRPr="0097167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E22"/>
    <w:rsid w:val="00590652"/>
    <w:rsid w:val="00971672"/>
    <w:rsid w:val="00A00341"/>
    <w:rsid w:val="00CB02C2"/>
    <w:rsid w:val="00F56E2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4C7BD"/>
  <w15:chartTrackingRefBased/>
  <w15:docId w15:val="{175961D0-9AC1-4F9E-84C6-76D85636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wtze">
    <w:name w:val="hwtze"/>
    <w:basedOn w:val="Policepardfaut"/>
    <w:rsid w:val="00971672"/>
  </w:style>
  <w:style w:type="character" w:customStyle="1" w:styleId="rynqvb">
    <w:name w:val="rynqvb"/>
    <w:basedOn w:val="Policepardfaut"/>
    <w:rsid w:val="00971672"/>
  </w:style>
  <w:style w:type="character" w:styleId="Lienhypertexte">
    <w:name w:val="Hyperlink"/>
    <w:basedOn w:val="Policepardfaut"/>
    <w:uiPriority w:val="99"/>
    <w:unhideWhenUsed/>
    <w:rsid w:val="00CB02C2"/>
    <w:rPr>
      <w:color w:val="0563C1" w:themeColor="hyperlink"/>
      <w:u w:val="single"/>
    </w:rPr>
  </w:style>
  <w:style w:type="character" w:customStyle="1" w:styleId="citation-part">
    <w:name w:val="citation-part"/>
    <w:basedOn w:val="Policepardfaut"/>
    <w:rsid w:val="00CB02C2"/>
  </w:style>
  <w:style w:type="character" w:customStyle="1" w:styleId="docsum-pmid">
    <w:name w:val="docsum-pmid"/>
    <w:basedOn w:val="Policepardfaut"/>
    <w:rsid w:val="00CB02C2"/>
  </w:style>
  <w:style w:type="character" w:customStyle="1" w:styleId="publication-type">
    <w:name w:val="publication-type"/>
    <w:basedOn w:val="Policepardfaut"/>
    <w:rsid w:val="00CB02C2"/>
  </w:style>
  <w:style w:type="character" w:customStyle="1" w:styleId="free-resources1">
    <w:name w:val="free-resources1"/>
    <w:basedOn w:val="Policepardfaut"/>
    <w:rsid w:val="00CB02C2"/>
    <w:rPr>
      <w:b/>
      <w:bCs/>
      <w:color w:val="C056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506892">
      <w:bodyDiv w:val="1"/>
      <w:marLeft w:val="0"/>
      <w:marRight w:val="0"/>
      <w:marTop w:val="0"/>
      <w:marBottom w:val="0"/>
      <w:divBdr>
        <w:top w:val="none" w:sz="0" w:space="0" w:color="auto"/>
        <w:left w:val="none" w:sz="0" w:space="0" w:color="auto"/>
        <w:bottom w:val="none" w:sz="0" w:space="0" w:color="auto"/>
        <w:right w:val="none" w:sz="0" w:space="0" w:color="auto"/>
      </w:divBdr>
    </w:div>
    <w:div w:id="772238661">
      <w:bodyDiv w:val="1"/>
      <w:marLeft w:val="0"/>
      <w:marRight w:val="0"/>
      <w:marTop w:val="0"/>
      <w:marBottom w:val="0"/>
      <w:divBdr>
        <w:top w:val="none" w:sz="0" w:space="0" w:color="auto"/>
        <w:left w:val="none" w:sz="0" w:space="0" w:color="auto"/>
        <w:bottom w:val="none" w:sz="0" w:space="0" w:color="auto"/>
        <w:right w:val="none" w:sz="0" w:space="0" w:color="auto"/>
      </w:divBdr>
    </w:div>
    <w:div w:id="179243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01.safelinks.protection.outlook.com/?url=https%3A%2F%2Fpubmed.ncbi.nlm.nih.gov%2F34096672%2F&amp;data=05%7C01%7Cstephane.roy%40umontreal.ca%7Cc4dfddfd7460482f31b208db45066f01%7Cd27eefec2a474be7981e0f8977fa31d8%7C1%7C0%7C638179666153933102%7CUnknown%7CTWFpbGZsb3d8eyJWIjoiMC4wLjAwMDAiLCJQIjoiV2luMzIiLCJBTiI6Ik1haWwiLCJXVCI6Mn0%3D%7C3000%7C%7C%7C&amp;sdata=hyW5dzDaCv457kH%2BtUudxM%2Fz7dmnEm%2BzIsZ41lsrapM%3D&amp;reserved=0"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mailto:stephane.roy@umontreal.ca"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an01.safelinks.protection.outlook.com/?url=https%3A%2F%2Fpubmed.ncbi.nlm.nih.gov%2F27549395%2F&amp;data=05%7C01%7Cstephane.roy%40umontreal.ca%7Cc4dfddfd7460482f31b208db45066f01%7Cd27eefec2a474be7981e0f8977fa31d8%7C1%7C0%7C638179666153933102%7CUnknown%7CTWFpbGZsb3d8eyJWIjoiMC4wLjAwMDAiLCJQIjoiV2luMzIiLCJBTiI6Ik1haWwiLCJXVCI6Mn0%3D%7C3000%7C%7C%7C&amp;sdata=eZqW13GHc%2Frct0uWuTLQj7rkHt%2BKn%2BC6xE6pzc8vwm0%3D&amp;reserved=0" TargetMode="External"/><Relationship Id="rId5" Type="http://schemas.openxmlformats.org/officeDocument/2006/relationships/settings" Target="settings.xml"/><Relationship Id="rId10" Type="http://schemas.openxmlformats.org/officeDocument/2006/relationships/hyperlink" Target="https://can01.safelinks.protection.outlook.com/?url=https%3A%2F%2Fpubmed.ncbi.nlm.nih.gov%2F30718780%2F&amp;data=05%7C01%7Cstephane.roy%40umontreal.ca%7Cc4dfddfd7460482f31b208db45066f01%7Cd27eefec2a474be7981e0f8977fa31d8%7C1%7C0%7C638179666153933102%7CUnknown%7CTWFpbGZsb3d8eyJWIjoiMC4wLjAwMDAiLCJQIjoiV2luMzIiLCJBTiI6Ik1haWwiLCJXVCI6Mn0%3D%7C3000%7C%7C%7C&amp;sdata=prLpO6cHHeR8EK5SzDmZqDJaytGAwXWVVWAxSvNyaT4%3D&amp;reserved=0" TargetMode="External"/><Relationship Id="rId4" Type="http://schemas.openxmlformats.org/officeDocument/2006/relationships/styles" Target="styles.xml"/><Relationship Id="rId9" Type="http://schemas.openxmlformats.org/officeDocument/2006/relationships/hyperlink" Target="https://can01.safelinks.protection.outlook.com/?url=https%3A%2F%2Fpubmed.ncbi.nlm.nih.gov%2F32665245%2F&amp;data=05%7C01%7Cstephane.roy%40umontreal.ca%7Cc4dfddfd7460482f31b208db45066f01%7Cd27eefec2a474be7981e0f8977fa31d8%7C1%7C0%7C638179666153933102%7CUnknown%7CTWFpbGZsb3d8eyJWIjoiMC4wLjAwMDAiLCJQIjoiV2luMzIiLCJBTiI6Ik1haWwiLCJXVCI6Mn0%3D%7C3000%7C%7C%7C&amp;sdata=ILKagtTJv5EeDCFHGi1J8GpJTbNr%2Bk3DEv%2F1ZCf4NdU%3D&amp;reserved=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F0364D4DE3C949AE233407F695DC61" ma:contentTypeVersion="17" ma:contentTypeDescription="Crée un document." ma:contentTypeScope="" ma:versionID="c31193aa3f49023f125ad20697d862fb">
  <xsd:schema xmlns:xsd="http://www.w3.org/2001/XMLSchema" xmlns:xs="http://www.w3.org/2001/XMLSchema" xmlns:p="http://schemas.microsoft.com/office/2006/metadata/properties" xmlns:ns1="http://schemas.microsoft.com/sharepoint/v3" xmlns:ns3="53ffc65c-4e83-499f-9472-f9d42ef89e93" xmlns:ns4="555e6395-dd22-47d4-895c-785a7d2dd8cc" targetNamespace="http://schemas.microsoft.com/office/2006/metadata/properties" ma:root="true" ma:fieldsID="5655a7a4c30849489d751a7a0dcb2a0b" ns1:_="" ns3:_="" ns4:_="">
    <xsd:import namespace="http://schemas.microsoft.com/sharepoint/v3"/>
    <xsd:import namespace="53ffc65c-4e83-499f-9472-f9d42ef89e93"/>
    <xsd:import namespace="555e6395-dd22-47d4-895c-785a7d2dd8c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Propriétés de la stratégie de conformité unifiée" ma:description="" ma:hidden="true" ma:internalName="_ip_UnifiedCompliancePolicyProperties">
      <xsd:simpleType>
        <xsd:restriction base="dms:Note"/>
      </xsd:simpleType>
    </xsd:element>
    <xsd:element name="_ip_UnifiedCompliancePolicyUIAction" ma:index="13" nillable="true" ma:displayName="Action d’interface utilisateur de la stratégie de conformité unifiée"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ffc65c-4e83-499f-9472-f9d42ef89e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5e6395-dd22-47d4-895c-785a7d2dd8cc"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SharingHintHash" ma:index="20"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53ffc65c-4e83-499f-9472-f9d42ef89e93" xsi:nil="true"/>
  </documentManagement>
</p:properties>
</file>

<file path=customXml/itemProps1.xml><?xml version="1.0" encoding="utf-8"?>
<ds:datastoreItem xmlns:ds="http://schemas.openxmlformats.org/officeDocument/2006/customXml" ds:itemID="{AD2322ED-60C3-45C0-8601-22B01DD22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ffc65c-4e83-499f-9472-f9d42ef89e93"/>
    <ds:schemaRef ds:uri="555e6395-dd22-47d4-895c-785a7d2dd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7FC7AC-E26A-4D90-A9D1-D85AA6B0EF86}">
  <ds:schemaRefs>
    <ds:schemaRef ds:uri="http://schemas.microsoft.com/sharepoint/v3/contenttype/forms"/>
  </ds:schemaRefs>
</ds:datastoreItem>
</file>

<file path=customXml/itemProps3.xml><?xml version="1.0" encoding="utf-8"?>
<ds:datastoreItem xmlns:ds="http://schemas.openxmlformats.org/officeDocument/2006/customXml" ds:itemID="{8E887F29-708C-4EB5-80A7-CAC03DB6A157}">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555e6395-dd22-47d4-895c-785a7d2dd8cc"/>
    <ds:schemaRef ds:uri="http://schemas.microsoft.com/sharepoint/v3"/>
    <ds:schemaRef ds:uri="53ffc65c-4e83-499f-9472-f9d42ef89e9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774</Words>
  <Characters>4261</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Roy</dc:creator>
  <cp:keywords/>
  <dc:description/>
  <cp:lastModifiedBy>Stéphane Roy</cp:lastModifiedBy>
  <cp:revision>2</cp:revision>
  <dcterms:created xsi:type="dcterms:W3CDTF">2023-04-24T21:05:00Z</dcterms:created>
  <dcterms:modified xsi:type="dcterms:W3CDTF">2023-04-24T21:05:00Z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0x01010065F0364D4DE3C949AE233407F695DC61</vt:lpwstr>
  </property>
</Properties>
</file>